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5DE5" w14:textId="77777777" w:rsidR="006345AF" w:rsidRPr="003B08A6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B08A6">
        <w:rPr>
          <w:rFonts w:eastAsia="標楷體" w:hint="eastAsia"/>
          <w:b/>
          <w:sz w:val="28"/>
        </w:rPr>
        <w:t>元智大學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社會暨政策科學學系</w:t>
      </w:r>
      <w:r w:rsidRPr="003B08A6">
        <w:rPr>
          <w:rFonts w:eastAsia="標楷體" w:hint="eastAsia"/>
          <w:b/>
          <w:sz w:val="28"/>
        </w:rPr>
        <w:t xml:space="preserve"> </w:t>
      </w:r>
      <w:r w:rsidRPr="003B08A6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B08A6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B08A6">
        <w:rPr>
          <w:rStyle w:val="hps"/>
          <w:rFonts w:eastAsia="標楷體"/>
          <w:lang w:val="en"/>
        </w:rPr>
        <w:t>YZU Social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and Policy</w:t>
      </w:r>
      <w:r w:rsidRPr="003B08A6">
        <w:rPr>
          <w:rFonts w:eastAsia="標楷體"/>
          <w:lang w:val="en"/>
        </w:rPr>
        <w:t xml:space="preserve"> </w:t>
      </w:r>
      <w:r w:rsidRPr="003B08A6">
        <w:rPr>
          <w:rStyle w:val="hps"/>
          <w:rFonts w:eastAsia="標楷體"/>
          <w:lang w:val="en"/>
        </w:rPr>
        <w:t>Sciences</w:t>
      </w:r>
      <w:r w:rsidRPr="003B08A6">
        <w:rPr>
          <w:rFonts w:eastAsia="標楷體"/>
          <w:sz w:val="28"/>
          <w:lang w:val="en-GB"/>
        </w:rPr>
        <w:t xml:space="preserve"> Elective Course Chart</w:t>
      </w:r>
    </w:p>
    <w:p w14:paraId="60CD02C2" w14:textId="7BB558B6" w:rsidR="0089502E" w:rsidRPr="003B08A6" w:rsidRDefault="008B7285" w:rsidP="0089502E">
      <w:pPr>
        <w:snapToGrid w:val="0"/>
        <w:jc w:val="center"/>
        <w:rPr>
          <w:rFonts w:eastAsia="標楷體"/>
          <w:b/>
        </w:rPr>
      </w:pPr>
      <w:r w:rsidRPr="003B08A6">
        <w:rPr>
          <w:rFonts w:eastAsia="標楷體" w:hint="eastAsia"/>
          <w:b/>
          <w:color w:val="000000"/>
        </w:rPr>
        <w:t>（</w:t>
      </w:r>
      <w:r w:rsidR="005C5EC3" w:rsidRPr="003B08A6">
        <w:rPr>
          <w:rFonts w:eastAsia="標楷體" w:hint="eastAsia"/>
          <w:b/>
          <w:color w:val="000000"/>
        </w:rPr>
        <w:t>11</w:t>
      </w:r>
      <w:r w:rsidR="006800E3" w:rsidRPr="003B08A6">
        <w:rPr>
          <w:rFonts w:eastAsia="標楷體" w:hint="eastAsia"/>
          <w:b/>
          <w:color w:val="000000"/>
        </w:rPr>
        <w:t>3</w:t>
      </w:r>
      <w:r w:rsidRPr="003B08A6">
        <w:rPr>
          <w:rFonts w:eastAsia="標楷體" w:hint="eastAsia"/>
          <w:b/>
          <w:color w:val="000000"/>
        </w:rPr>
        <w:t>學年度入學新生適用</w:t>
      </w:r>
      <w:r w:rsidR="005E70FC" w:rsidRPr="003B08A6">
        <w:rPr>
          <w:rFonts w:eastAsia="標楷體"/>
          <w:b/>
          <w:color w:val="000000"/>
        </w:rPr>
        <w:t>Academic Year 20</w:t>
      </w:r>
      <w:r w:rsidR="005C5EC3" w:rsidRPr="003B08A6">
        <w:rPr>
          <w:rFonts w:eastAsia="標楷體" w:hint="eastAsia"/>
          <w:b/>
          <w:color w:val="000000"/>
        </w:rPr>
        <w:t>2</w:t>
      </w:r>
      <w:r w:rsidR="006800E3" w:rsidRPr="003B08A6">
        <w:rPr>
          <w:rFonts w:eastAsia="標楷體" w:hint="eastAsia"/>
          <w:b/>
          <w:color w:val="000000"/>
        </w:rPr>
        <w:t>4</w:t>
      </w:r>
      <w:r w:rsidRPr="003B08A6">
        <w:rPr>
          <w:rFonts w:eastAsia="標楷體" w:hint="eastAsia"/>
          <w:b/>
          <w:color w:val="000000"/>
        </w:rPr>
        <w:t>）</w:t>
      </w:r>
    </w:p>
    <w:p w14:paraId="5D7D79E6" w14:textId="77777777" w:rsidR="006800E3" w:rsidRPr="003B08A6" w:rsidRDefault="001A54D0" w:rsidP="006800E3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 </w:t>
      </w:r>
      <w:r w:rsidR="00423126" w:rsidRPr="003B08A6">
        <w:rPr>
          <w:rFonts w:eastAsia="標楷體" w:hint="eastAsia"/>
          <w:sz w:val="16"/>
          <w:szCs w:val="16"/>
        </w:rPr>
        <w:t xml:space="preserve">      </w:t>
      </w:r>
      <w:r w:rsidR="00662960" w:rsidRPr="003B08A6">
        <w:rPr>
          <w:rFonts w:eastAsia="標楷體" w:hint="eastAsia"/>
          <w:sz w:val="16"/>
          <w:szCs w:val="16"/>
        </w:rPr>
        <w:t xml:space="preserve"> </w:t>
      </w:r>
    </w:p>
    <w:p w14:paraId="78A575B3" w14:textId="5EF97F3B" w:rsidR="00BF4F03" w:rsidRPr="003B08A6" w:rsidRDefault="00662960" w:rsidP="006800E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B08A6">
        <w:rPr>
          <w:rFonts w:eastAsia="標楷體" w:hint="eastAsia"/>
          <w:sz w:val="16"/>
          <w:szCs w:val="16"/>
        </w:rPr>
        <w:t xml:space="preserve"> </w:t>
      </w:r>
      <w:bookmarkStart w:id="0" w:name="_Hlk95811481"/>
      <w:r w:rsidR="00F7582A" w:rsidRPr="00BA1854">
        <w:rPr>
          <w:rFonts w:eastAsia="標楷體" w:hint="eastAsia"/>
          <w:sz w:val="16"/>
          <w:szCs w:val="16"/>
        </w:rPr>
        <w:t>11</w:t>
      </w:r>
      <w:r w:rsidR="00F7582A">
        <w:rPr>
          <w:rFonts w:eastAsia="標楷體" w:hint="eastAsia"/>
          <w:sz w:val="16"/>
          <w:szCs w:val="16"/>
        </w:rPr>
        <w:t>3</w:t>
      </w:r>
      <w:r w:rsidR="00F7582A" w:rsidRPr="00BA1854">
        <w:rPr>
          <w:rFonts w:eastAsia="標楷體" w:hint="eastAsia"/>
          <w:sz w:val="16"/>
          <w:szCs w:val="16"/>
        </w:rPr>
        <w:t>.05.</w:t>
      </w:r>
      <w:r w:rsidR="00F7582A">
        <w:rPr>
          <w:rFonts w:eastAsia="標楷體" w:hint="eastAsia"/>
          <w:sz w:val="16"/>
          <w:szCs w:val="16"/>
        </w:rPr>
        <w:t>01</w:t>
      </w:r>
      <w:r w:rsidR="00F7582A" w:rsidRPr="00BA1854">
        <w:rPr>
          <w:rFonts w:eastAsia="標楷體" w:hint="eastAsia"/>
          <w:sz w:val="16"/>
          <w:szCs w:val="16"/>
        </w:rPr>
        <w:t xml:space="preserve"> </w:t>
      </w:r>
      <w:r w:rsidR="00F7582A" w:rsidRPr="00BA1854">
        <w:rPr>
          <w:rFonts w:eastAsia="標楷體" w:hint="eastAsia"/>
          <w:sz w:val="16"/>
          <w:szCs w:val="16"/>
        </w:rPr>
        <w:t>一一</w:t>
      </w:r>
      <w:r w:rsidR="00F7582A">
        <w:rPr>
          <w:rFonts w:eastAsia="標楷體" w:hint="eastAsia"/>
          <w:sz w:val="16"/>
          <w:szCs w:val="16"/>
        </w:rPr>
        <w:t>二</w:t>
      </w:r>
      <w:r w:rsidR="00F7582A" w:rsidRPr="00BA1854">
        <w:rPr>
          <w:rFonts w:eastAsia="標楷體" w:hint="eastAsia"/>
          <w:sz w:val="16"/>
          <w:szCs w:val="16"/>
        </w:rPr>
        <w:t>學年度第</w:t>
      </w:r>
      <w:r w:rsidR="00F7582A">
        <w:rPr>
          <w:rFonts w:eastAsia="標楷體" w:hint="eastAsia"/>
          <w:sz w:val="16"/>
          <w:szCs w:val="16"/>
        </w:rPr>
        <w:t>八</w:t>
      </w:r>
      <w:r w:rsidR="00F7582A" w:rsidRPr="00BA1854">
        <w:rPr>
          <w:rFonts w:eastAsia="標楷體" w:hint="eastAsia"/>
          <w:sz w:val="16"/>
          <w:szCs w:val="16"/>
        </w:rPr>
        <w:t>次教務會議通過</w:t>
      </w:r>
      <w:r w:rsidR="006C71AA" w:rsidRPr="003B08A6">
        <w:rPr>
          <w:rFonts w:eastAsia="標楷體" w:hint="eastAsia"/>
          <w:sz w:val="16"/>
          <w:szCs w:val="16"/>
        </w:rPr>
        <w:t xml:space="preserve">   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B08A6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B08A6" w:rsidRDefault="006345AF" w:rsidP="00815F1D">
            <w:pPr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B08A6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科目</w:t>
            </w:r>
            <w:r w:rsidR="00815F1D" w:rsidRPr="003B08A6">
              <w:rPr>
                <w:rFonts w:eastAsia="標楷體"/>
                <w:sz w:val="18"/>
              </w:rPr>
              <w:t>Year of Study</w:t>
            </w:r>
            <w:r w:rsidR="00815F1D" w:rsidRPr="003B08A6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B08A6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B08A6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第一學年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第二學年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第三學年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第四學年</w:t>
            </w:r>
            <w:r w:rsidR="00815F1D" w:rsidRPr="003B08A6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B08A6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="00815F1D"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B08A6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="00815F1D"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上</w:t>
            </w:r>
            <w:r w:rsidRPr="003B08A6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B08A6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下</w:t>
            </w:r>
            <w:r w:rsidRPr="003B08A6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B08A6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B08A6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B08A6">
              <w:rPr>
                <w:rFonts w:eastAsia="標楷體" w:hint="eastAsia"/>
                <w:sz w:val="18"/>
              </w:rPr>
              <w:t>目</w:t>
            </w:r>
            <w:r w:rsidRPr="003B08A6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B08A6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253B1F1C" w:rsidR="00020D61" w:rsidRPr="003B08A6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="00645AE7" w:rsidRPr="003B08A6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BF4F03" w:rsidRPr="003B08A6">
              <w:rPr>
                <w:rFonts w:eastAsia="標楷體" w:hint="eastAsia"/>
                <w:color w:val="000000" w:themeColor="text1"/>
                <w:sz w:val="18"/>
              </w:rPr>
              <w:t>4</w:t>
            </w:r>
            <w:r w:rsidR="00F27EFD">
              <w:rPr>
                <w:rFonts w:eastAsia="標楷體" w:hint="eastAsia"/>
                <w:color w:val="000000" w:themeColor="text1"/>
                <w:sz w:val="18"/>
              </w:rPr>
              <w:t>4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B08A6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B08A6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B08A6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Labour Issue and Policies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B08A6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B08A6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組織社會學</w:t>
            </w:r>
            <w:r w:rsidRPr="003B08A6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社會變遷</w:t>
            </w:r>
            <w:r w:rsidRPr="003B08A6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B08A6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Social Care and Practice</w:t>
            </w:r>
            <w:r w:rsidRPr="003B08A6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B08A6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B08A6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全球化專題</w:t>
            </w:r>
            <w:r w:rsidRPr="003B08A6">
              <w:rPr>
                <w:rFonts w:eastAsia="標楷體"/>
                <w:sz w:val="18"/>
              </w:rPr>
              <w:t>Special Topics on Globalization</w:t>
            </w:r>
            <w:r w:rsidRPr="003B08A6">
              <w:rPr>
                <w:rFonts w:eastAsia="標楷體" w:hint="eastAsia"/>
                <w:sz w:val="18"/>
              </w:rPr>
              <w:t xml:space="preserve"> (</w:t>
            </w:r>
            <w:r w:rsidRPr="003B08A6">
              <w:rPr>
                <w:rFonts w:eastAsia="標楷體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社會政策分析</w:t>
            </w:r>
            <w:r w:rsidRPr="003B08A6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B08A6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B08A6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B08A6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B08A6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性別社會學</w:t>
            </w:r>
            <w:r w:rsidRPr="003B08A6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家庭社會學</w:t>
            </w:r>
            <w:r w:rsidRPr="003B08A6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Work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企業社會責任</w:t>
            </w:r>
            <w:r w:rsidRPr="003B08A6">
              <w:rPr>
                <w:rFonts w:eastAsia="標楷體"/>
                <w:sz w:val="18"/>
              </w:rPr>
              <w:t>Corporate Social Responsibility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社會福利行政</w:t>
            </w:r>
            <w:r w:rsidRPr="003B08A6">
              <w:rPr>
                <w:rFonts w:eastAsia="標楷體"/>
                <w:sz w:val="18"/>
              </w:rPr>
              <w:t>Social Welfare Administration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社會福利概論</w:t>
            </w:r>
            <w:r w:rsidRPr="003B08A6">
              <w:rPr>
                <w:rFonts w:eastAsia="標楷體"/>
                <w:sz w:val="18"/>
              </w:rPr>
              <w:t>Introduction to Social Welfare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社會工作概論</w:t>
            </w:r>
            <w:r w:rsidRPr="003B08A6">
              <w:rPr>
                <w:rFonts w:eastAsia="標楷體"/>
                <w:sz w:val="18"/>
              </w:rPr>
              <w:t>Introduction of Social Work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犯罪學</w:t>
            </w:r>
            <w:r w:rsidRPr="003B08A6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Community Organization and Development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管理</w:t>
            </w:r>
            <w:r w:rsidRPr="003B08A6">
              <w:rPr>
                <w:rFonts w:eastAsia="標楷體" w:hint="eastAsia"/>
                <w:sz w:val="18"/>
              </w:rPr>
              <w:t xml:space="preserve"> </w:t>
            </w:r>
            <w:r w:rsidRPr="003B08A6">
              <w:rPr>
                <w:rFonts w:eastAsia="標楷體"/>
                <w:sz w:val="18"/>
              </w:rPr>
              <w:t>Management of Non-Profit Organizations</w:t>
            </w: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B08A6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B08A6">
              <w:rPr>
                <w:rFonts w:eastAsia="標楷體" w:hint="eastAsia"/>
                <w:sz w:val="18"/>
              </w:rPr>
              <w:t>實地工作（實習</w:t>
            </w:r>
            <w:r w:rsidRPr="003B08A6">
              <w:rPr>
                <w:rFonts w:eastAsia="標楷體"/>
                <w:sz w:val="18"/>
              </w:rPr>
              <w:t>）</w:t>
            </w:r>
            <w:r w:rsidRPr="003B08A6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B08A6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B08A6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2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B08A6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B08A6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Human Behavior in the Environmen</w:t>
            </w:r>
            <w:r w:rsidRPr="003B08A6">
              <w:rPr>
                <w:rFonts w:eastAsia="標楷體" w:hint="eastAsia"/>
                <w:sz w:val="18"/>
              </w:rPr>
              <w:t>t</w:t>
            </w:r>
            <w:r w:rsidRPr="003B08A6">
              <w:rPr>
                <w:rFonts w:eastAsia="標楷體" w:hint="eastAsia"/>
                <w:sz w:val="18"/>
              </w:rPr>
              <w:t>（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愛情社會學</w:t>
            </w:r>
            <w:r w:rsidRPr="003B08A6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消費社會學</w:t>
            </w:r>
            <w:r w:rsidRPr="003B08A6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Social </w:t>
            </w:r>
            <w:r w:rsidRPr="003B08A6">
              <w:rPr>
                <w:rFonts w:eastAsia="標楷體" w:hint="eastAsia"/>
                <w:sz w:val="18"/>
              </w:rPr>
              <w:t>E</w:t>
            </w:r>
            <w:r w:rsidRPr="003B08A6">
              <w:rPr>
                <w:rFonts w:eastAsia="標楷體"/>
                <w:sz w:val="18"/>
              </w:rPr>
              <w:t xml:space="preserve">nterprise and </w:t>
            </w:r>
            <w:r w:rsidRPr="003B08A6">
              <w:rPr>
                <w:rFonts w:eastAsia="標楷體" w:hint="eastAsia"/>
                <w:sz w:val="18"/>
              </w:rPr>
              <w:t>S</w:t>
            </w:r>
            <w:r w:rsidRPr="003B08A6">
              <w:rPr>
                <w:rFonts w:eastAsia="標楷體"/>
                <w:sz w:val="18"/>
              </w:rPr>
              <w:t xml:space="preserve">ocial </w:t>
            </w:r>
            <w:r w:rsidRPr="003B08A6">
              <w:rPr>
                <w:rFonts w:eastAsia="標楷體" w:hint="eastAsia"/>
                <w:sz w:val="18"/>
              </w:rPr>
              <w:t>I</w:t>
            </w:r>
            <w:r w:rsidRPr="003B08A6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 xml:space="preserve"> </w:t>
            </w: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人口研究與人口政策</w:t>
            </w:r>
            <w:r w:rsidRPr="003B08A6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醫療社會學</w:t>
            </w:r>
            <w:r w:rsidRPr="003B08A6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(</w:t>
            </w:r>
            <w:r w:rsidRPr="003B08A6">
              <w:rPr>
                <w:rFonts w:eastAsia="標楷體" w:hint="eastAsia"/>
                <w:sz w:val="18"/>
              </w:rPr>
              <w:t>3</w:t>
            </w:r>
            <w:r w:rsidRPr="003B08A6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B08A6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B08A6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B08A6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B08A6" w14:paraId="36382183" w14:textId="77777777" w:rsidTr="0041491E">
        <w:trPr>
          <w:cantSplit/>
          <w:trHeight w:hRule="exact" w:val="151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B08A6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B08A6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B08A6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B08A6" w14:paraId="3265B791" w14:textId="77777777" w:rsidTr="0041491E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B08A6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B08A6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B08A6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B08A6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B08A6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B08A6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43530E09" w14:textId="77777777" w:rsidTr="00742E0F">
        <w:trPr>
          <w:cantSplit/>
          <w:trHeight w:hRule="exact" w:val="16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B08A6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B08A6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8B3B27" w14:textId="3B223C79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1692E1F" w14:textId="31981F92" w:rsidR="00491A7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0C2BF6A4" w14:textId="77777777" w:rsidR="00BF4BEB" w:rsidRPr="003A35A4" w:rsidRDefault="00BF4BEB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A35A4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491A7F" w:rsidRPr="003A35A4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3D233EC6" w:rsidR="00742E0F" w:rsidRPr="003B08A6" w:rsidRDefault="00491A7F" w:rsidP="00491A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BF4BEB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3B08A6">
              <w:rPr>
                <w:rFonts w:eastAsia="標楷體" w:hint="eastAsia"/>
                <w:color w:val="000000" w:themeColor="text1"/>
                <w:sz w:val="18"/>
              </w:rPr>
              <w:t>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1F740861" w14:textId="77777777" w:rsidTr="0041491E">
        <w:trPr>
          <w:cantSplit/>
          <w:trHeight w:hRule="exact" w:val="1598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B08A6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093939C0" w14:textId="77777777" w:rsidR="0041491E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B08A6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B08A6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</w:p>
          <w:p w14:paraId="58EA25D4" w14:textId="639C962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B08A6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501B0084" w14:textId="77777777" w:rsidTr="00BF4F03">
        <w:trPr>
          <w:cantSplit/>
          <w:trHeight w:hRule="exact" w:val="116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AA24C2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0A1795D" w14:textId="0913F581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29F12F31" w14:textId="77777777" w:rsidTr="00C3471A">
        <w:trPr>
          <w:cantSplit/>
          <w:trHeight w:val="133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FB9B2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5B3B12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79A06761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9AAED40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D5C713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E7010F6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23BDDD6" w14:textId="532FC88C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DBA5540" w14:textId="77777777" w:rsidR="00742E0F" w:rsidRPr="003B08A6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065516A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B08A6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B08A6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合計</w:t>
            </w:r>
            <w:r w:rsidRPr="003B08A6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025A837C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710F230A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2</w:t>
            </w:r>
            <w:r w:rsidR="00F27EFD"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208A3ACD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B08A6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B08A6" w14:paraId="0D79BC82" w14:textId="77777777" w:rsidTr="00445101">
        <w:trPr>
          <w:cantSplit/>
          <w:trHeight w:hRule="exact" w:val="102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B08A6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B08A6">
              <w:rPr>
                <w:rFonts w:eastAsia="標楷體" w:hint="eastAsia"/>
                <w:sz w:val="18"/>
              </w:rPr>
              <w:t>備註</w:t>
            </w:r>
            <w:r w:rsidRPr="003B08A6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B08A6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59686F87" w:rsidR="005E77EE" w:rsidRPr="003B08A6" w:rsidRDefault="000D4270" w:rsidP="00097ED4">
      <w:pPr>
        <w:ind w:right="32"/>
        <w:jc w:val="right"/>
        <w:rPr>
          <w:rFonts w:eastAsia="標楷體"/>
        </w:rPr>
      </w:pPr>
      <w:r w:rsidRPr="003B08A6">
        <w:rPr>
          <w:rFonts w:eastAsia="標楷體"/>
          <w:sz w:val="20"/>
        </w:rPr>
        <w:t>AA-CP-04-CF0</w:t>
      </w:r>
      <w:r w:rsidRPr="003B08A6">
        <w:rPr>
          <w:rFonts w:eastAsia="標楷體" w:hint="eastAsia"/>
          <w:sz w:val="20"/>
        </w:rPr>
        <w:t>5</w:t>
      </w:r>
      <w:r w:rsidRPr="003B08A6">
        <w:rPr>
          <w:rFonts w:eastAsia="標楷體"/>
          <w:sz w:val="20"/>
        </w:rPr>
        <w:t xml:space="preserve"> (1.</w:t>
      </w:r>
      <w:r w:rsidRPr="003B08A6">
        <w:rPr>
          <w:rFonts w:eastAsia="標楷體" w:hint="eastAsia"/>
          <w:sz w:val="20"/>
        </w:rPr>
        <w:t>2</w:t>
      </w:r>
      <w:r w:rsidRPr="003B08A6">
        <w:rPr>
          <w:rFonts w:eastAsia="標楷體"/>
          <w:sz w:val="20"/>
        </w:rPr>
        <w:t>版</w:t>
      </w:r>
      <w:r w:rsidRPr="003B08A6">
        <w:rPr>
          <w:rFonts w:eastAsia="標楷體"/>
          <w:sz w:val="20"/>
        </w:rPr>
        <w:t>)</w:t>
      </w:r>
      <w:r w:rsidRPr="003B08A6">
        <w:rPr>
          <w:rFonts w:eastAsia="標楷體"/>
          <w:sz w:val="20"/>
        </w:rPr>
        <w:t>／</w:t>
      </w:r>
      <w:r w:rsidRPr="003B08A6">
        <w:rPr>
          <w:rFonts w:eastAsia="標楷體"/>
          <w:sz w:val="20"/>
        </w:rPr>
        <w:t>101.1</w:t>
      </w:r>
      <w:r w:rsidRPr="003B08A6">
        <w:rPr>
          <w:rFonts w:eastAsia="標楷體" w:hint="eastAsia"/>
          <w:sz w:val="20"/>
        </w:rPr>
        <w:t>1.15</w:t>
      </w:r>
      <w:r w:rsidRPr="003B08A6">
        <w:rPr>
          <w:rFonts w:eastAsia="標楷體"/>
          <w:sz w:val="20"/>
        </w:rPr>
        <w:t>修訂</w:t>
      </w:r>
    </w:p>
    <w:sectPr w:rsidR="005E77EE" w:rsidRPr="003B08A6" w:rsidSect="0070737F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9460" w14:textId="77777777" w:rsidR="0070737F" w:rsidRDefault="0070737F">
      <w:r>
        <w:separator/>
      </w:r>
    </w:p>
  </w:endnote>
  <w:endnote w:type="continuationSeparator" w:id="0">
    <w:p w14:paraId="1731A1C7" w14:textId="77777777" w:rsidR="0070737F" w:rsidRDefault="0070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32D7" w14:textId="77777777" w:rsidR="0070737F" w:rsidRDefault="0070737F">
      <w:r>
        <w:separator/>
      </w:r>
    </w:p>
  </w:footnote>
  <w:footnote w:type="continuationSeparator" w:id="0">
    <w:p w14:paraId="4CD9C3B2" w14:textId="77777777" w:rsidR="0070737F" w:rsidRDefault="0070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6178" w14:textId="1C8ECBC8" w:rsidR="000C2EC6" w:rsidRDefault="000C2EC6" w:rsidP="000C2EC6">
    <w:pPr>
      <w:pStyle w:val="a3"/>
      <w:jc w:val="right"/>
    </w:pPr>
  </w:p>
  <w:p w14:paraId="442BB523" w14:textId="2EA17D3A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7ED"/>
    <w:rsid w:val="000678C1"/>
    <w:rsid w:val="00072276"/>
    <w:rsid w:val="000723EB"/>
    <w:rsid w:val="00072A2D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2EC6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37A"/>
    <w:rsid w:val="0039643E"/>
    <w:rsid w:val="003A35A4"/>
    <w:rsid w:val="003B08A6"/>
    <w:rsid w:val="003B333B"/>
    <w:rsid w:val="003C1574"/>
    <w:rsid w:val="003C15AA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1A7F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962"/>
    <w:rsid w:val="004D4583"/>
    <w:rsid w:val="004D6185"/>
    <w:rsid w:val="004D6E12"/>
    <w:rsid w:val="004D6EEC"/>
    <w:rsid w:val="004D7201"/>
    <w:rsid w:val="004D756F"/>
    <w:rsid w:val="004E06A0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601B03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00E3"/>
    <w:rsid w:val="00681B9E"/>
    <w:rsid w:val="00684D61"/>
    <w:rsid w:val="006B3D9C"/>
    <w:rsid w:val="006B5364"/>
    <w:rsid w:val="006C148D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0737F"/>
    <w:rsid w:val="00710C77"/>
    <w:rsid w:val="00710E16"/>
    <w:rsid w:val="00722C1F"/>
    <w:rsid w:val="00737355"/>
    <w:rsid w:val="007429B7"/>
    <w:rsid w:val="00742E0F"/>
    <w:rsid w:val="00747F4A"/>
    <w:rsid w:val="00752996"/>
    <w:rsid w:val="007607FC"/>
    <w:rsid w:val="00764742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6062B"/>
    <w:rsid w:val="00861BD7"/>
    <w:rsid w:val="00861ED1"/>
    <w:rsid w:val="00871E3F"/>
    <w:rsid w:val="00876AC6"/>
    <w:rsid w:val="00880124"/>
    <w:rsid w:val="00890C1B"/>
    <w:rsid w:val="0089172A"/>
    <w:rsid w:val="00891FFB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62609"/>
    <w:rsid w:val="00B72400"/>
    <w:rsid w:val="00B76DF0"/>
    <w:rsid w:val="00B77F9A"/>
    <w:rsid w:val="00B82791"/>
    <w:rsid w:val="00B85E36"/>
    <w:rsid w:val="00B902EB"/>
    <w:rsid w:val="00B95151"/>
    <w:rsid w:val="00B970EC"/>
    <w:rsid w:val="00BA06EC"/>
    <w:rsid w:val="00BA7084"/>
    <w:rsid w:val="00BA790C"/>
    <w:rsid w:val="00BB2317"/>
    <w:rsid w:val="00BB28E1"/>
    <w:rsid w:val="00BB51BA"/>
    <w:rsid w:val="00BC121F"/>
    <w:rsid w:val="00BE6312"/>
    <w:rsid w:val="00BF0873"/>
    <w:rsid w:val="00BF4B2A"/>
    <w:rsid w:val="00BF4BEB"/>
    <w:rsid w:val="00BF4F03"/>
    <w:rsid w:val="00BF686F"/>
    <w:rsid w:val="00C04946"/>
    <w:rsid w:val="00C0530A"/>
    <w:rsid w:val="00C0799E"/>
    <w:rsid w:val="00C1058E"/>
    <w:rsid w:val="00C14253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118D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65EA"/>
    <w:rsid w:val="00CE3B78"/>
    <w:rsid w:val="00CE435A"/>
    <w:rsid w:val="00CF27AB"/>
    <w:rsid w:val="00CF2AC2"/>
    <w:rsid w:val="00D06833"/>
    <w:rsid w:val="00D06F4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6A6C"/>
    <w:rsid w:val="00D56BA8"/>
    <w:rsid w:val="00D60ADB"/>
    <w:rsid w:val="00D63D5E"/>
    <w:rsid w:val="00D73E36"/>
    <w:rsid w:val="00D742AE"/>
    <w:rsid w:val="00D76EAE"/>
    <w:rsid w:val="00D819BB"/>
    <w:rsid w:val="00D92CE7"/>
    <w:rsid w:val="00DA13B3"/>
    <w:rsid w:val="00DA2F55"/>
    <w:rsid w:val="00DB01E8"/>
    <w:rsid w:val="00DB121C"/>
    <w:rsid w:val="00DB695D"/>
    <w:rsid w:val="00DB7BAE"/>
    <w:rsid w:val="00DC2967"/>
    <w:rsid w:val="00DC6177"/>
    <w:rsid w:val="00DD6E26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11997"/>
    <w:rsid w:val="00E11DE1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27EFD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7582A"/>
    <w:rsid w:val="00F812C9"/>
    <w:rsid w:val="00F8288D"/>
    <w:rsid w:val="00F84FC6"/>
    <w:rsid w:val="00F95E47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421</Words>
  <Characters>2401</Characters>
  <Application>Microsoft Office Word</Application>
  <DocSecurity>0</DocSecurity>
  <Lines>20</Lines>
  <Paragraphs>5</Paragraphs>
  <ScaleCrop>false</ScaleCrop>
  <Company>YZU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73</cp:revision>
  <cp:lastPrinted>2023-05-08T05:57:00Z</cp:lastPrinted>
  <dcterms:created xsi:type="dcterms:W3CDTF">2022-02-15T01:53:00Z</dcterms:created>
  <dcterms:modified xsi:type="dcterms:W3CDTF">2024-04-16T07:32:00Z</dcterms:modified>
</cp:coreProperties>
</file>