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C238D3" w:rsidRDefault="00A70933" w:rsidP="00A70933">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A70933" w:rsidRPr="00C238D3" w:rsidRDefault="00A70933" w:rsidP="00A70933">
      <w:pPr>
        <w:adjustRightInd w:val="0"/>
        <w:snapToGrid w:val="0"/>
        <w:jc w:val="center"/>
        <w:rPr>
          <w:rFonts w:eastAsia="標楷體"/>
        </w:rPr>
      </w:pPr>
      <w:r w:rsidRPr="00C238D3">
        <w:rPr>
          <w:rFonts w:eastAsia="標楷體"/>
        </w:rPr>
        <w:t>（</w:t>
      </w:r>
      <w:r w:rsidRPr="00C238D3">
        <w:rPr>
          <w:rFonts w:eastAsia="標楷體" w:hint="eastAsia"/>
        </w:rPr>
        <w:t>106</w:t>
      </w:r>
      <w:r w:rsidRPr="00C238D3">
        <w:rPr>
          <w:rFonts w:eastAsia="標楷體"/>
        </w:rPr>
        <w:t>學年度入學新生適用）</w:t>
      </w:r>
    </w:p>
    <w:p w:rsidR="00A70933" w:rsidRPr="00C238D3" w:rsidRDefault="00A70933" w:rsidP="00A70933">
      <w:pPr>
        <w:snapToGrid w:val="0"/>
        <w:spacing w:line="240" w:lineRule="atLeast"/>
        <w:jc w:val="center"/>
        <w:rPr>
          <w:rFonts w:eastAsia="標楷體"/>
          <w:b/>
        </w:rPr>
      </w:pPr>
      <w:r w:rsidRPr="00C238D3">
        <w:rPr>
          <w:rFonts w:eastAsia="標楷體"/>
          <w:b/>
        </w:rPr>
        <w:t xml:space="preserve">List of Required and Elective Courses for Master Degree (Part Time)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A70933" w:rsidRPr="00C238D3" w:rsidRDefault="00A70933" w:rsidP="00A70933">
      <w:pPr>
        <w:spacing w:line="40" w:lineRule="atLeast"/>
        <w:jc w:val="center"/>
        <w:rPr>
          <w:rFonts w:eastAsia="標楷體"/>
        </w:rPr>
      </w:pPr>
      <w:r w:rsidRPr="00C238D3">
        <w:rPr>
          <w:rFonts w:eastAsia="標楷體" w:hint="eastAsia"/>
          <w:b/>
        </w:rPr>
        <w:t>（</w:t>
      </w:r>
      <w:r w:rsidRPr="00C238D3">
        <w:rPr>
          <w:rFonts w:eastAsia="標楷體"/>
          <w:b/>
        </w:rPr>
        <w:t>Applicable to Students Admitted for Academic year of 201</w:t>
      </w:r>
      <w:r w:rsidRPr="00C238D3">
        <w:rPr>
          <w:rFonts w:eastAsia="標楷體" w:hint="eastAsia"/>
          <w:b/>
        </w:rPr>
        <w:t>7</w:t>
      </w:r>
      <w:r w:rsidRPr="00C238D3">
        <w:rPr>
          <w:rFonts w:eastAsia="標楷體"/>
          <w:b/>
        </w:rPr>
        <w:t>-201</w:t>
      </w:r>
      <w:r w:rsidRPr="00C238D3">
        <w:rPr>
          <w:rFonts w:eastAsia="標楷體" w:hint="eastAsia"/>
          <w:b/>
        </w:rPr>
        <w:t>8</w:t>
      </w:r>
      <w:r w:rsidRPr="00C238D3">
        <w:rPr>
          <w:rFonts w:eastAsia="標楷體" w:hint="eastAsia"/>
          <w:b/>
        </w:rPr>
        <w:t>）</w:t>
      </w:r>
    </w:p>
    <w:p w:rsidR="00CC2654" w:rsidRPr="00C238D3" w:rsidRDefault="00CC2654" w:rsidP="00607855">
      <w:pPr>
        <w:pStyle w:val="Web"/>
        <w:adjustRightInd w:val="0"/>
        <w:snapToGrid w:val="0"/>
        <w:spacing w:before="0" w:beforeAutospacing="0" w:after="0" w:afterAutospacing="0"/>
        <w:jc w:val="right"/>
        <w:rPr>
          <w:rFonts w:ascii="標楷體" w:eastAsia="標楷體" w:hAnsi="標楷體"/>
          <w:sz w:val="16"/>
          <w:szCs w:val="16"/>
          <w:lang w:eastAsia="zh-TW"/>
        </w:rPr>
      </w:pPr>
      <w:r w:rsidRPr="00C238D3">
        <w:rPr>
          <w:rFonts w:ascii="Times New Roman" w:hAnsi="Times New Roman" w:cs="Times New Roman"/>
          <w:sz w:val="16"/>
          <w:szCs w:val="16"/>
        </w:rPr>
        <w:t>10</w:t>
      </w:r>
      <w:r w:rsidRPr="00C238D3">
        <w:rPr>
          <w:rFonts w:ascii="Times New Roman" w:hAnsi="Times New Roman" w:cs="Times New Roman"/>
          <w:sz w:val="16"/>
          <w:szCs w:val="16"/>
          <w:lang w:eastAsia="zh-TW"/>
        </w:rPr>
        <w:t>6</w:t>
      </w:r>
      <w:r w:rsidRPr="00C238D3">
        <w:rPr>
          <w:rFonts w:ascii="Times New Roman" w:hAnsi="Times New Roman" w:cs="Times New Roman"/>
          <w:sz w:val="16"/>
          <w:szCs w:val="16"/>
        </w:rPr>
        <w:t>.</w:t>
      </w:r>
      <w:r w:rsidRPr="00C238D3">
        <w:rPr>
          <w:rFonts w:ascii="Times New Roman" w:hAnsi="Times New Roman" w:cs="Times New Roman"/>
          <w:sz w:val="16"/>
          <w:szCs w:val="16"/>
          <w:lang w:eastAsia="zh-TW"/>
        </w:rPr>
        <w:t>0</w:t>
      </w:r>
      <w:r w:rsidRPr="00C238D3">
        <w:rPr>
          <w:rFonts w:ascii="Times New Roman" w:hAnsi="Times New Roman" w:cs="Times New Roman" w:hint="eastAsia"/>
          <w:sz w:val="16"/>
          <w:szCs w:val="16"/>
          <w:lang w:eastAsia="zh-TW"/>
        </w:rPr>
        <w:t>4</w:t>
      </w:r>
      <w:r w:rsidRPr="00C238D3">
        <w:rPr>
          <w:rFonts w:ascii="Times New Roman" w:hAnsi="Times New Roman" w:cs="Times New Roman"/>
          <w:sz w:val="16"/>
          <w:szCs w:val="16"/>
        </w:rPr>
        <w:t>.</w:t>
      </w:r>
      <w:r w:rsidRPr="00C238D3">
        <w:rPr>
          <w:rFonts w:ascii="Times New Roman" w:hAnsi="Times New Roman" w:cs="Times New Roman" w:hint="eastAsia"/>
          <w:sz w:val="16"/>
          <w:szCs w:val="16"/>
          <w:lang w:eastAsia="zh-TW"/>
        </w:rPr>
        <w:t>26</w:t>
      </w:r>
      <w:r w:rsidRPr="00C238D3">
        <w:rPr>
          <w:rFonts w:ascii="Times New Roman" w:hAnsi="Times New Roman" w:cs="Times New Roman"/>
          <w:sz w:val="16"/>
          <w:szCs w:val="16"/>
        </w:rPr>
        <w:t xml:space="preserve"> </w:t>
      </w:r>
      <w:r w:rsidRPr="00C238D3">
        <w:rPr>
          <w:rFonts w:ascii="標楷體" w:eastAsia="標楷體" w:hAnsi="標楷體" w:hint="eastAsia"/>
          <w:sz w:val="16"/>
          <w:szCs w:val="16"/>
        </w:rPr>
        <w:t>一</w:t>
      </w:r>
      <w:r w:rsidRPr="00C238D3">
        <w:rPr>
          <w:rFonts w:ascii="Times New Roman" w:hAnsi="Times New Roman" w:cs="Times New Roman"/>
          <w:sz w:val="16"/>
          <w:szCs w:val="16"/>
        </w:rPr>
        <w:t>○</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學年度第</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次教務會議通過</w:t>
      </w:r>
    </w:p>
    <w:p w:rsidR="00CC2654" w:rsidRPr="00C238D3" w:rsidRDefault="00CC2654" w:rsidP="00607855">
      <w:pPr>
        <w:adjustRightInd w:val="0"/>
        <w:snapToGrid w:val="0"/>
        <w:jc w:val="right"/>
        <w:rPr>
          <w:rFonts w:ascii="Times New Roman" w:hAnsi="Times New Roman" w:cs="Times New Roman"/>
          <w:sz w:val="16"/>
          <w:szCs w:val="16"/>
        </w:rPr>
      </w:pPr>
      <w:r w:rsidRPr="00C238D3">
        <w:rPr>
          <w:rFonts w:ascii="Times New Roman" w:hAnsi="Times New Roman" w:cs="Times New Roman"/>
          <w:sz w:val="16"/>
          <w:szCs w:val="16"/>
        </w:rPr>
        <w:t>Passed by th</w:t>
      </w:r>
      <w:r>
        <w:rPr>
          <w:rFonts w:ascii="Times New Roman" w:hAnsi="Times New Roman" w:cs="Times New Roman"/>
          <w:sz w:val="16"/>
          <w:szCs w:val="16"/>
        </w:rPr>
        <w:t>e 5th</w:t>
      </w:r>
      <w:r w:rsidRPr="00C238D3">
        <w:rPr>
          <w:rFonts w:ascii="Times New Roman" w:hAnsi="Times New Roman" w:cs="Times New Roman"/>
          <w:sz w:val="16"/>
          <w:szCs w:val="16"/>
        </w:rPr>
        <w:t xml:space="preserve"> Academic Affairs Meeting, Academic Year 2016, on A</w:t>
      </w:r>
      <w:r w:rsidRPr="00C238D3">
        <w:rPr>
          <w:rFonts w:ascii="Times New Roman" w:hAnsi="Times New Roman" w:cs="Times New Roman" w:hint="eastAsia"/>
          <w:sz w:val="16"/>
          <w:szCs w:val="16"/>
        </w:rPr>
        <w:t>pril</w:t>
      </w:r>
      <w:r w:rsidRPr="00C238D3">
        <w:rPr>
          <w:rFonts w:ascii="Times New Roman" w:hAnsi="Times New Roman" w:cs="Times New Roman"/>
          <w:sz w:val="16"/>
          <w:szCs w:val="16"/>
        </w:rPr>
        <w:t> </w:t>
      </w:r>
      <w:r w:rsidRPr="00C238D3">
        <w:rPr>
          <w:rFonts w:ascii="Times New Roman" w:hAnsi="Times New Roman" w:cs="Times New Roman" w:hint="eastAsia"/>
          <w:sz w:val="16"/>
          <w:szCs w:val="16"/>
        </w:rPr>
        <w:t>26</w:t>
      </w:r>
      <w:r w:rsidRPr="00C238D3">
        <w:rPr>
          <w:rFonts w:ascii="Times New Roman" w:hAnsi="Times New Roman" w:cs="Times New Roman"/>
          <w:sz w:val="16"/>
          <w:szCs w:val="16"/>
        </w:rPr>
        <w:t>, 2017</w:t>
      </w:r>
    </w:p>
    <w:p w:rsidR="00CC2654" w:rsidRPr="006741E7" w:rsidRDefault="00CC2654" w:rsidP="00607855">
      <w:pPr>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CC2654" w:rsidRPr="00C238D3" w:rsidRDefault="00CC2654" w:rsidP="00CC2654">
      <w:pPr>
        <w:snapToGrid w:val="0"/>
        <w:jc w:val="right"/>
        <w:rPr>
          <w:rFonts w:ascii="Times New Roman" w:eastAsia="標楷體" w:hAnsi="Times New Roman"/>
          <w:b/>
          <w:sz w:val="16"/>
          <w:szCs w:val="16"/>
        </w:rPr>
      </w:pPr>
      <w:r w:rsidRPr="006741E7">
        <w:rPr>
          <w:rFonts w:ascii="Times New Roman" w:eastAsia="標楷體" w:hAnsi="Times New Roman" w:cs="Times New Roman"/>
          <w:sz w:val="16"/>
          <w:szCs w:val="16"/>
        </w:rPr>
        <w:t>Amended by the 6th Academic Affairs Meeting, Academic Year 2016, on June 21, 2017</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70933" w:rsidRPr="00C238D3" w:rsidTr="00A70933">
        <w:trPr>
          <w:trHeight w:val="20"/>
          <w:tblHeader/>
        </w:trPr>
        <w:tc>
          <w:tcPr>
            <w:tcW w:w="1332"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A70933" w:rsidRPr="00C238D3" w:rsidRDefault="00A70933" w:rsidP="00A70933">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A70933" w:rsidRPr="00C238D3" w:rsidRDefault="00A70933" w:rsidP="00A70933">
            <w:pPr>
              <w:adjustRightInd w:val="0"/>
              <w:snapToGrid w:val="0"/>
              <w:jc w:val="center"/>
              <w:rPr>
                <w:rFonts w:eastAsia="標楷體"/>
                <w:sz w:val="18"/>
                <w:szCs w:val="18"/>
              </w:rPr>
            </w:pPr>
            <w:r w:rsidRPr="00C238D3">
              <w:rPr>
                <w:rFonts w:eastAsia="標楷體" w:hAnsi="標楷體"/>
                <w:sz w:val="18"/>
                <w:szCs w:val="18"/>
              </w:rPr>
              <w:t>Credits</w:t>
            </w:r>
          </w:p>
        </w:tc>
      </w:tr>
      <w:tr w:rsidR="00A70933" w:rsidRPr="00C238D3" w:rsidTr="00A70933">
        <w:trPr>
          <w:trHeight w:val="20"/>
        </w:trPr>
        <w:tc>
          <w:tcPr>
            <w:tcW w:w="1332" w:type="dxa"/>
            <w:vMerge w:val="restart"/>
            <w:vAlign w:val="center"/>
          </w:tcPr>
          <w:p w:rsidR="00A70933" w:rsidRPr="00C238D3" w:rsidRDefault="00A70933" w:rsidP="00A70933">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A70933" w:rsidRPr="00C238D3" w:rsidRDefault="00A70933" w:rsidP="00A70933">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jc w:val="center"/>
              <w:rPr>
                <w:rFonts w:eastAsia="標楷體" w:hAnsi="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ME504</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C238D3" w:rsidTr="00A70933">
        <w:trPr>
          <w:trHeight w:val="20"/>
        </w:trPr>
        <w:tc>
          <w:tcPr>
            <w:tcW w:w="1332" w:type="dxa"/>
            <w:vMerge w:val="restart"/>
            <w:vAlign w:val="center"/>
          </w:tcPr>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EG501</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Statistical Experimental Design and Application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jc w:val="center"/>
              <w:rPr>
                <w:sz w:val="18"/>
                <w:szCs w:val="18"/>
              </w:rPr>
            </w:pPr>
            <w:r w:rsidRPr="00C238D3">
              <w:rPr>
                <w:sz w:val="18"/>
                <w:szCs w:val="18"/>
              </w:rPr>
              <w:t>ME508</w:t>
            </w:r>
          </w:p>
        </w:tc>
        <w:tc>
          <w:tcPr>
            <w:tcW w:w="2284" w:type="dxa"/>
            <w:vAlign w:val="center"/>
          </w:tcPr>
          <w:p w:rsidR="00A70933" w:rsidRPr="00C238D3" w:rsidRDefault="00A70933" w:rsidP="00A70933">
            <w:pPr>
              <w:adjustRightInd w:val="0"/>
              <w:snapToGrid w:val="0"/>
              <w:rPr>
                <w:rFonts w:eastAsia="標楷體"/>
                <w:sz w:val="18"/>
                <w:szCs w:val="18"/>
              </w:rPr>
            </w:pPr>
            <w:r w:rsidRPr="00C238D3">
              <w:rPr>
                <w:rFonts w:eastAsia="標楷體" w:hAnsi="標楷體" w:hint="eastAsia"/>
                <w:sz w:val="18"/>
                <w:szCs w:val="18"/>
              </w:rPr>
              <w:t>微機電量測技術</w:t>
            </w:r>
          </w:p>
        </w:tc>
        <w:tc>
          <w:tcPr>
            <w:tcW w:w="4560" w:type="dxa"/>
            <w:vAlign w:val="center"/>
          </w:tcPr>
          <w:p w:rsidR="00A70933" w:rsidRPr="00C238D3" w:rsidRDefault="00A70933" w:rsidP="00A70933">
            <w:pPr>
              <w:adjustRightInd w:val="0"/>
              <w:snapToGrid w:val="0"/>
              <w:rPr>
                <w:sz w:val="18"/>
                <w:szCs w:val="18"/>
              </w:rPr>
            </w:pPr>
            <w:r w:rsidRPr="00C238D3">
              <w:rPr>
                <w:sz w:val="18"/>
                <w:szCs w:val="18"/>
              </w:rPr>
              <w:t>MEMS Measurement Technology</w:t>
            </w:r>
          </w:p>
        </w:tc>
        <w:tc>
          <w:tcPr>
            <w:tcW w:w="600" w:type="dxa"/>
            <w:vAlign w:val="center"/>
          </w:tcPr>
          <w:p w:rsidR="00A70933" w:rsidRPr="00C238D3" w:rsidRDefault="00A70933" w:rsidP="00A70933">
            <w:pPr>
              <w:adjustRightInd w:val="0"/>
              <w:snapToGrid w:val="0"/>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彈性力學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Elasticity</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ME512</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微分方程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Differential Equations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ME516</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有限元素法</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Finite Element Method</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ME519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熱對流學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Convective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高等流體力學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Fluid Mechanics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線性系統</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Linear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ME527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最佳化設計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Design Optimization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破壞力學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Fracture Mechanics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振動學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Vibration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w:t>
            </w:r>
            <w:proofErr w:type="gramStart"/>
            <w:r w:rsidRPr="00C238D3">
              <w:rPr>
                <w:rFonts w:eastAsia="標楷體" w:hAnsi="標楷體" w:hint="eastAsia"/>
                <w:sz w:val="18"/>
                <w:szCs w:val="18"/>
              </w:rPr>
              <w:t>熱傳學</w:t>
            </w:r>
            <w:proofErr w:type="gramEnd"/>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高等數值分析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Numerical Analysis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燃燒學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Combustion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自動飛行控制系統</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Automatic Flight Control System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計算</w:t>
            </w:r>
            <w:proofErr w:type="gramStart"/>
            <w:r w:rsidRPr="00C238D3">
              <w:rPr>
                <w:rFonts w:eastAsia="標楷體" w:hAnsi="標楷體" w:hint="eastAsia"/>
                <w:sz w:val="18"/>
                <w:szCs w:val="18"/>
              </w:rPr>
              <w:t>流力及熱傳學</w:t>
            </w:r>
            <w:proofErr w:type="gramEnd"/>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Computational Fluid Dynamics and Heat Transfer</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ME539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從物理學到生理學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自動化工程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Automation and CIM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材料機械性質</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Mechanical Property of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高等工程材料</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微電腦與機械控制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Microcomputers in Mechanical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ME545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燃料電池專題</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Special Topic in Fuel Cell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jc w:val="center"/>
              <w:rPr>
                <w:rFonts w:eastAsia="標楷體"/>
                <w:sz w:val="18"/>
                <w:szCs w:val="18"/>
              </w:rPr>
            </w:pPr>
            <w:r w:rsidRPr="00C238D3">
              <w:rPr>
                <w:rFonts w:eastAsia="標楷體"/>
                <w:sz w:val="18"/>
                <w:szCs w:val="18"/>
              </w:rPr>
              <w:t>ME549</w:t>
            </w:r>
          </w:p>
        </w:tc>
        <w:tc>
          <w:tcPr>
            <w:tcW w:w="2284" w:type="dxa"/>
            <w:vAlign w:val="center"/>
          </w:tcPr>
          <w:p w:rsidR="00A70933" w:rsidRPr="00C238D3" w:rsidRDefault="00A70933" w:rsidP="00A70933">
            <w:pPr>
              <w:rPr>
                <w:rFonts w:eastAsia="標楷體"/>
                <w:sz w:val="18"/>
                <w:szCs w:val="18"/>
              </w:rPr>
            </w:pPr>
            <w:r w:rsidRPr="00C238D3">
              <w:rPr>
                <w:rFonts w:eastAsia="標楷體"/>
                <w:sz w:val="18"/>
                <w:szCs w:val="18"/>
              </w:rPr>
              <w:t>電漿放電原理</w:t>
            </w:r>
          </w:p>
        </w:tc>
        <w:tc>
          <w:tcPr>
            <w:tcW w:w="4560" w:type="dxa"/>
            <w:vAlign w:val="center"/>
          </w:tcPr>
          <w:p w:rsidR="00A70933" w:rsidRPr="00C238D3" w:rsidRDefault="00A70933" w:rsidP="00A70933">
            <w:pPr>
              <w:rPr>
                <w:rFonts w:eastAsia="標楷體"/>
                <w:sz w:val="18"/>
                <w:szCs w:val="18"/>
              </w:rPr>
            </w:pPr>
            <w:r w:rsidRPr="00C238D3">
              <w:rPr>
                <w:rFonts w:eastAsia="標楷體"/>
                <w:sz w:val="18"/>
                <w:szCs w:val="18"/>
              </w:rPr>
              <w:t>Principle of Plasma Discharge</w:t>
            </w:r>
          </w:p>
        </w:tc>
        <w:tc>
          <w:tcPr>
            <w:tcW w:w="600" w:type="dxa"/>
            <w:vAlign w:val="center"/>
          </w:tcPr>
          <w:p w:rsidR="00A70933" w:rsidRPr="00C238D3" w:rsidRDefault="00A70933" w:rsidP="00A70933">
            <w:pPr>
              <w:jc w:val="center"/>
              <w:rPr>
                <w:rFonts w:eastAsia="標楷體"/>
                <w:sz w:val="18"/>
                <w:szCs w:val="18"/>
              </w:rPr>
            </w:pPr>
            <w:r w:rsidRPr="00C238D3">
              <w:rPr>
                <w:rFonts w:eastAsia="標楷體"/>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幾何模型與電腦繪圖</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Geometric Modeling and Computer Graphics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ME551</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高等製造工程與系統整合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Manufacturing Technology and System Integration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ME553</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電化學工程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Electrochemical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高等工程數學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Engineering Mathematics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ME558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數位控制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Digital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污水處理設備設計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Equipment Design for Waste Water Treatment</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強健控制</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Robust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高等熱力學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Thermodynamics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老人福祉科技</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ME568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光電原理與應用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Principles of Optoelectronics and Applications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焚化原理及技術</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Incineration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高等線性代數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Advanced Linear Algebra</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ME572</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燃燒器設計與污染防治</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Combustor Design and Pollution Control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材料實驗方法</w:t>
            </w:r>
          </w:p>
        </w:tc>
        <w:tc>
          <w:tcPr>
            <w:tcW w:w="4560" w:type="dxa"/>
            <w:vAlign w:val="center"/>
          </w:tcPr>
          <w:p w:rsidR="00A70933" w:rsidRPr="00C238D3" w:rsidRDefault="00A70933" w:rsidP="00A70933">
            <w:pPr>
              <w:adjustRightInd w:val="0"/>
              <w:snapToGrid w:val="0"/>
              <w:rPr>
                <w:sz w:val="18"/>
                <w:szCs w:val="18"/>
              </w:rPr>
            </w:pPr>
            <w:r w:rsidRPr="00C238D3">
              <w:rPr>
                <w:sz w:val="18"/>
                <w:szCs w:val="18"/>
              </w:rPr>
              <w:t>Experimental Methods for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ME574</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燃料電池理論與數值分析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ME575</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電廠工程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Power Plant Technology</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ME577</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防火工程</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Fire Protection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ME578</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Statistics and Data Analysis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ME579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高溫固態氧化物燃料電池</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High Temperature Solid Oxide Fuel Cell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材料疲勞損傷分析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Fatigue of Engineering Materials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ME581</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燃料電池技術與系統設計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Fuel Cell Technology and System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ME583</w:t>
            </w:r>
          </w:p>
        </w:tc>
        <w:tc>
          <w:tcPr>
            <w:tcW w:w="2284" w:type="dxa"/>
            <w:vAlign w:val="center"/>
          </w:tcPr>
          <w:p w:rsidR="00A70933" w:rsidRPr="00C238D3" w:rsidRDefault="00A70933" w:rsidP="00A70933">
            <w:pPr>
              <w:adjustRightInd w:val="0"/>
              <w:snapToGrid w:val="0"/>
              <w:spacing w:line="240" w:lineRule="atLeast"/>
              <w:rPr>
                <w:rFonts w:eastAsia="標楷體" w:hAnsi="標楷體"/>
                <w:sz w:val="18"/>
                <w:szCs w:val="18"/>
              </w:rPr>
            </w:pPr>
            <w:r w:rsidRPr="00C238D3">
              <w:rPr>
                <w:rFonts w:eastAsia="標楷體" w:hAnsi="標楷體" w:hint="eastAsia"/>
                <w:sz w:val="18"/>
                <w:szCs w:val="18"/>
              </w:rPr>
              <w:t>推進系統概論與應用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Rocket Propulsion System</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空氣污染控制設計</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Air Pollution Control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ME588</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熱對流理論與設計應用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Heat Transfer Theory and Design Applications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ME589</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電子構裝力學分析</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Stress Analysis of Electronic Packaging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ME590</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Ansi="標楷體" w:hint="eastAsia"/>
                <w:sz w:val="18"/>
                <w:szCs w:val="18"/>
              </w:rPr>
              <w:t>醫學工程原理與應用</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Principle and Applications of Biomedical Engineering</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ME601</w:t>
            </w:r>
          </w:p>
        </w:tc>
        <w:tc>
          <w:tcPr>
            <w:tcW w:w="2284" w:type="dxa"/>
            <w:vAlign w:val="center"/>
          </w:tcPr>
          <w:p w:rsidR="00A70933" w:rsidRPr="00C238D3" w:rsidRDefault="00A70933" w:rsidP="00A70933">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560" w:type="dxa"/>
            <w:vAlign w:val="center"/>
          </w:tcPr>
          <w:p w:rsidR="00A70933" w:rsidRPr="00C238D3" w:rsidRDefault="00A70933" w:rsidP="00A70933">
            <w:pPr>
              <w:adjustRightInd w:val="0"/>
              <w:snapToGrid w:val="0"/>
              <w:spacing w:line="240" w:lineRule="atLeast"/>
              <w:rPr>
                <w:rFonts w:ascii="新細明體"/>
                <w:bCs/>
                <w:sz w:val="20"/>
                <w:szCs w:val="20"/>
              </w:rPr>
            </w:pPr>
            <w:r w:rsidRPr="00C238D3">
              <w:rPr>
                <w:bCs/>
                <w:sz w:val="20"/>
                <w:szCs w:val="20"/>
              </w:rPr>
              <w:t>Compressible Flow</w:t>
            </w:r>
          </w:p>
        </w:tc>
        <w:tc>
          <w:tcPr>
            <w:tcW w:w="600"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ME603</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int="eastAsia"/>
                <w:sz w:val="18"/>
                <w:szCs w:val="18"/>
              </w:rPr>
              <w:t>複合材料力學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Mechanics of Composite Material</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ME608</w:t>
            </w:r>
          </w:p>
        </w:tc>
        <w:tc>
          <w:tcPr>
            <w:tcW w:w="2284" w:type="dxa"/>
            <w:vAlign w:val="center"/>
          </w:tcPr>
          <w:p w:rsidR="00A70933" w:rsidRPr="00C238D3" w:rsidRDefault="00A70933" w:rsidP="00A70933">
            <w:pPr>
              <w:adjustRightInd w:val="0"/>
              <w:snapToGrid w:val="0"/>
              <w:spacing w:line="240" w:lineRule="atLeast"/>
              <w:rPr>
                <w:rFonts w:eastAsia="標楷體"/>
                <w:bCs/>
                <w:sz w:val="18"/>
                <w:szCs w:val="18"/>
              </w:rPr>
            </w:pPr>
            <w:r w:rsidRPr="00C238D3">
              <w:rPr>
                <w:rFonts w:eastAsia="標楷體" w:hint="eastAsia"/>
                <w:bCs/>
                <w:sz w:val="18"/>
                <w:szCs w:val="18"/>
              </w:rPr>
              <w:t>電子冷卻技術</w:t>
            </w:r>
          </w:p>
        </w:tc>
        <w:tc>
          <w:tcPr>
            <w:tcW w:w="4560" w:type="dxa"/>
            <w:vAlign w:val="center"/>
          </w:tcPr>
          <w:p w:rsidR="00A70933" w:rsidRPr="00C238D3" w:rsidRDefault="00A70933" w:rsidP="00A70933">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 Cooling Techniques</w:t>
            </w:r>
          </w:p>
        </w:tc>
        <w:tc>
          <w:tcPr>
            <w:tcW w:w="600" w:type="dxa"/>
            <w:vAlign w:val="center"/>
          </w:tcPr>
          <w:p w:rsidR="00A70933" w:rsidRPr="00C238D3" w:rsidRDefault="00A70933" w:rsidP="00A70933">
            <w:pPr>
              <w:adjustRightInd w:val="0"/>
              <w:snapToGrid w:val="0"/>
              <w:spacing w:line="240" w:lineRule="atLeast"/>
              <w:jc w:val="center"/>
              <w:rPr>
                <w:bCs/>
                <w:sz w:val="18"/>
                <w:szCs w:val="18"/>
              </w:rPr>
            </w:pPr>
            <w:r w:rsidRPr="00C238D3">
              <w:rPr>
                <w:bCs/>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A70933" w:rsidRPr="00C238D3" w:rsidRDefault="00A70933" w:rsidP="00A70933">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A70933" w:rsidRPr="00C238D3" w:rsidRDefault="00A70933" w:rsidP="00A70933">
            <w:pPr>
              <w:jc w:val="left"/>
              <w:rPr>
                <w:rFonts w:eastAsia="標楷體"/>
                <w:sz w:val="18"/>
                <w:szCs w:val="18"/>
              </w:rPr>
            </w:pPr>
            <w:r w:rsidRPr="00C238D3">
              <w:rPr>
                <w:rFonts w:eastAsia="標楷體"/>
                <w:sz w:val="18"/>
                <w:szCs w:val="18"/>
              </w:rPr>
              <w:t>Innovative Product Design</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A70933" w:rsidRPr="00C238D3" w:rsidRDefault="00A70933" w:rsidP="00A70933">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A70933" w:rsidRPr="00C238D3" w:rsidRDefault="00A70933" w:rsidP="00A70933">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rFonts w:hint="eastAsia"/>
                <w:sz w:val="18"/>
                <w:szCs w:val="18"/>
              </w:rPr>
              <w:t>3</w:t>
            </w:r>
          </w:p>
        </w:tc>
      </w:tr>
      <w:tr w:rsidR="00A70933" w:rsidRPr="00C238D3" w:rsidTr="00A70933">
        <w:trPr>
          <w:trHeight w:val="20"/>
        </w:trPr>
        <w:tc>
          <w:tcPr>
            <w:tcW w:w="1332" w:type="dxa"/>
            <w:vMerge/>
            <w:vAlign w:val="center"/>
          </w:tcPr>
          <w:p w:rsidR="00A70933" w:rsidRPr="00C238D3" w:rsidRDefault="00A70933" w:rsidP="00A70933">
            <w:pPr>
              <w:adjustRightInd w:val="0"/>
              <w:snapToGrid w:val="0"/>
              <w:spacing w:line="240" w:lineRule="atLeast"/>
              <w:rPr>
                <w:rFonts w:eastAsia="標楷體"/>
                <w:sz w:val="18"/>
                <w:szCs w:val="18"/>
              </w:rPr>
            </w:pPr>
          </w:p>
        </w:tc>
        <w:tc>
          <w:tcPr>
            <w:tcW w:w="956"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ME906</w:t>
            </w:r>
          </w:p>
        </w:tc>
        <w:tc>
          <w:tcPr>
            <w:tcW w:w="2284" w:type="dxa"/>
            <w:vAlign w:val="center"/>
          </w:tcPr>
          <w:p w:rsidR="00A70933" w:rsidRPr="00C238D3" w:rsidRDefault="00A70933" w:rsidP="00A70933">
            <w:pPr>
              <w:adjustRightInd w:val="0"/>
              <w:snapToGrid w:val="0"/>
              <w:spacing w:line="240" w:lineRule="atLeast"/>
              <w:rPr>
                <w:rFonts w:eastAsia="標楷體"/>
                <w:sz w:val="18"/>
                <w:szCs w:val="18"/>
              </w:rPr>
            </w:pPr>
            <w:r w:rsidRPr="00C238D3">
              <w:rPr>
                <w:rFonts w:eastAsia="標楷體" w:hint="eastAsia"/>
                <w:sz w:val="18"/>
                <w:szCs w:val="18"/>
              </w:rPr>
              <w:t>高溫氣體動力學</w:t>
            </w:r>
          </w:p>
        </w:tc>
        <w:tc>
          <w:tcPr>
            <w:tcW w:w="4560" w:type="dxa"/>
            <w:vAlign w:val="center"/>
          </w:tcPr>
          <w:p w:rsidR="00A70933" w:rsidRPr="00C238D3" w:rsidRDefault="00A70933" w:rsidP="00A70933">
            <w:pPr>
              <w:adjustRightInd w:val="0"/>
              <w:snapToGrid w:val="0"/>
              <w:spacing w:line="240" w:lineRule="atLeast"/>
              <w:rPr>
                <w:sz w:val="18"/>
                <w:szCs w:val="18"/>
              </w:rPr>
            </w:pPr>
            <w:r w:rsidRPr="00C238D3">
              <w:rPr>
                <w:sz w:val="18"/>
                <w:szCs w:val="18"/>
              </w:rPr>
              <w:t>High Temperature Gas Dynamics</w:t>
            </w:r>
          </w:p>
        </w:tc>
        <w:tc>
          <w:tcPr>
            <w:tcW w:w="600" w:type="dxa"/>
            <w:vAlign w:val="center"/>
          </w:tcPr>
          <w:p w:rsidR="00A70933" w:rsidRPr="00C238D3" w:rsidRDefault="00A70933" w:rsidP="00A70933">
            <w:pPr>
              <w:adjustRightInd w:val="0"/>
              <w:snapToGrid w:val="0"/>
              <w:spacing w:line="240" w:lineRule="atLeast"/>
              <w:jc w:val="center"/>
              <w:rPr>
                <w:sz w:val="18"/>
                <w:szCs w:val="18"/>
              </w:rPr>
            </w:pPr>
            <w:r w:rsidRPr="00C238D3">
              <w:rPr>
                <w:sz w:val="18"/>
                <w:szCs w:val="18"/>
              </w:rPr>
              <w:t>3</w:t>
            </w:r>
          </w:p>
        </w:tc>
      </w:tr>
      <w:tr w:rsidR="00A70933" w:rsidRPr="00C238D3" w:rsidTr="00A70933">
        <w:trPr>
          <w:trHeight w:val="1563"/>
        </w:trPr>
        <w:tc>
          <w:tcPr>
            <w:tcW w:w="1332" w:type="dxa"/>
            <w:tcBorders>
              <w:bottom w:val="single" w:sz="8" w:space="0" w:color="auto"/>
            </w:tcBorders>
            <w:vAlign w:val="center"/>
          </w:tcPr>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hint="eastAsia"/>
                <w:sz w:val="18"/>
                <w:szCs w:val="18"/>
              </w:rPr>
              <w:t>備註</w:t>
            </w:r>
          </w:p>
          <w:p w:rsidR="00A70933" w:rsidRPr="00C238D3" w:rsidRDefault="00A70933" w:rsidP="00A70933">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A70933" w:rsidRPr="00C238D3" w:rsidRDefault="00A70933" w:rsidP="00BA07F9">
            <w:pPr>
              <w:numPr>
                <w:ilvl w:val="0"/>
                <w:numId w:val="23"/>
              </w:numPr>
              <w:tabs>
                <w:tab w:val="clear" w:pos="480"/>
                <w:tab w:val="num" w:pos="212"/>
              </w:tabs>
              <w:adjustRightInd w:val="0"/>
              <w:snapToGrid w:val="0"/>
              <w:spacing w:line="240" w:lineRule="atLeast"/>
              <w:jc w:val="left"/>
              <w:rPr>
                <w:sz w:val="18"/>
                <w:szCs w:val="18"/>
              </w:rPr>
            </w:pPr>
            <w:r w:rsidRPr="00C238D3">
              <w:rPr>
                <w:rFonts w:eastAsia="標楷體"/>
                <w:sz w:val="18"/>
                <w:szCs w:val="18"/>
              </w:rPr>
              <w:t>應符合以下其中之一項規定，始得畢業：</w:t>
            </w:r>
          </w:p>
          <w:p w:rsidR="00A70933" w:rsidRPr="00C238D3" w:rsidRDefault="00A70933" w:rsidP="00BA07F9">
            <w:pPr>
              <w:numPr>
                <w:ilvl w:val="0"/>
                <w:numId w:val="25"/>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A70933" w:rsidRPr="00C238D3" w:rsidRDefault="00A70933" w:rsidP="00BA07F9">
            <w:pPr>
              <w:numPr>
                <w:ilvl w:val="0"/>
                <w:numId w:val="25"/>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A70933" w:rsidRPr="00C238D3" w:rsidRDefault="00A70933" w:rsidP="00BA07F9">
            <w:pPr>
              <w:numPr>
                <w:ilvl w:val="0"/>
                <w:numId w:val="23"/>
              </w:numPr>
              <w:tabs>
                <w:tab w:val="clear" w:pos="480"/>
                <w:tab w:val="num" w:pos="212"/>
              </w:tabs>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C238D3" w:rsidRDefault="00A70933" w:rsidP="00BA07F9">
            <w:pPr>
              <w:numPr>
                <w:ilvl w:val="0"/>
                <w:numId w:val="23"/>
              </w:numPr>
              <w:tabs>
                <w:tab w:val="clear" w:pos="480"/>
                <w:tab w:val="num" w:pos="212"/>
              </w:tabs>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Pr="00C238D3">
              <w:rPr>
                <w:rFonts w:eastAsia="標楷體"/>
                <w:sz w:val="18"/>
                <w:szCs w:val="18"/>
              </w:rPr>
              <w:t>http://www.mech.yzu.edu.tw/</w:t>
            </w:r>
            <w:r w:rsidRPr="00C238D3">
              <w:rPr>
                <w:rFonts w:eastAsia="標楷體"/>
                <w:sz w:val="18"/>
                <w:szCs w:val="18"/>
              </w:rPr>
              <w:t>各項法規</w:t>
            </w:r>
            <w:r w:rsidRPr="00C238D3">
              <w:rPr>
                <w:rFonts w:eastAsia="標楷體"/>
                <w:sz w:val="18"/>
                <w:szCs w:val="18"/>
              </w:rPr>
              <w:t>/</w:t>
            </w:r>
            <w:r w:rsidRPr="00C238D3">
              <w:rPr>
                <w:rFonts w:eastAsia="標楷體"/>
                <w:sz w:val="18"/>
                <w:szCs w:val="18"/>
              </w:rPr>
              <w:t>課業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sidRPr="00C238D3">
              <w:rPr>
                <w:rFonts w:eastAsia="標楷體"/>
                <w:sz w:val="18"/>
                <w:szCs w:val="18"/>
              </w:rPr>
              <w:t xml:space="preserve">)/ </w:t>
            </w:r>
            <w:r w:rsidRPr="00C238D3">
              <w:rPr>
                <w:rFonts w:eastAsia="標楷體"/>
                <w:sz w:val="18"/>
                <w:szCs w:val="18"/>
              </w:rPr>
              <w:t>碩士在職專班修業辦法。</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rFonts w:eastAsia="標楷體"/>
                <w:sz w:val="18"/>
                <w:szCs w:val="18"/>
              </w:rPr>
            </w:pPr>
            <w:r w:rsidRPr="00C238D3">
              <w:rPr>
                <w:sz w:val="18"/>
                <w:szCs w:val="18"/>
              </w:rPr>
              <w:t>Please choose one of two rules for graduation:</w:t>
            </w:r>
          </w:p>
          <w:p w:rsidR="00A70933" w:rsidRPr="00C238D3" w:rsidRDefault="00A70933" w:rsidP="00BA07F9">
            <w:pPr>
              <w:widowControl w:val="0"/>
              <w:numPr>
                <w:ilvl w:val="1"/>
                <w:numId w:val="24"/>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A70933" w:rsidRPr="00C238D3" w:rsidRDefault="00A70933" w:rsidP="00A70933">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36 credits, including 33 credits from required and elective courses </w:t>
            </w:r>
            <w:proofErr w:type="gramStart"/>
            <w:r w:rsidRPr="00C238D3">
              <w:rPr>
                <w:sz w:val="18"/>
                <w:szCs w:val="18"/>
              </w:rPr>
              <w:t>( at</w:t>
            </w:r>
            <w:proofErr w:type="gramEnd"/>
            <w:r w:rsidRPr="00C238D3">
              <w:rPr>
                <w:sz w:val="18"/>
                <w:szCs w:val="18"/>
              </w:rPr>
              <w:t xml:space="preserve"> least 21 credits must relate to Mechanical Engineering Master degree courses).</w:t>
            </w:r>
          </w:p>
          <w:p w:rsidR="00A70933" w:rsidRPr="00C238D3" w:rsidRDefault="00A70933" w:rsidP="00BA07F9">
            <w:pPr>
              <w:widowControl w:val="0"/>
              <w:numPr>
                <w:ilvl w:val="1"/>
                <w:numId w:val="24"/>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A70933" w:rsidRPr="00C238D3" w:rsidRDefault="00A70933" w:rsidP="00A70933">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required and elective courses </w:t>
            </w:r>
            <w:proofErr w:type="gramStart"/>
            <w:r w:rsidRPr="00C238D3">
              <w:rPr>
                <w:sz w:val="18"/>
                <w:szCs w:val="18"/>
              </w:rPr>
              <w:t>( at</w:t>
            </w:r>
            <w:proofErr w:type="gramEnd"/>
            <w:r w:rsidRPr="00C238D3">
              <w:rPr>
                <w:sz w:val="18"/>
                <w:szCs w:val="18"/>
              </w:rPr>
              <w:t xml:space="preserve"> least 15 credits must relate to Mechanical Engineering Master degree courses).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A70933" w:rsidRPr="00C238D3" w:rsidRDefault="00A70933" w:rsidP="00BA07F9">
            <w:pPr>
              <w:widowControl w:val="0"/>
              <w:numPr>
                <w:ilvl w:val="0"/>
                <w:numId w:val="24"/>
              </w:numPr>
              <w:tabs>
                <w:tab w:val="clear" w:pos="480"/>
                <w:tab w:val="num" w:pos="212"/>
              </w:tabs>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http://www.mech.yzu.edu.tw/menu/index/id/10141.</w:t>
            </w:r>
          </w:p>
        </w:tc>
      </w:tr>
    </w:tbl>
    <w:p w:rsidR="004D2A35" w:rsidRPr="00C238D3" w:rsidRDefault="004D2A35" w:rsidP="00A70933">
      <w:pPr>
        <w:pStyle w:val="a3"/>
        <w:jc w:val="center"/>
        <w:rPr>
          <w:rFonts w:eastAsia="標楷體"/>
          <w:sz w:val="28"/>
          <w:szCs w:val="28"/>
        </w:rPr>
      </w:pPr>
    </w:p>
    <w:p w:rsidR="00A70933" w:rsidRPr="003E1C11" w:rsidRDefault="00A70933" w:rsidP="00A70933">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70933" w:rsidRPr="003E1C11" w:rsidRDefault="00A70933" w:rsidP="00A70933">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757AB5" w:rsidRPr="0039332F" w:rsidRDefault="00757AB5" w:rsidP="00BE070B">
      <w:pPr>
        <w:spacing w:line="240" w:lineRule="atLeast"/>
        <w:rPr>
          <w:rFonts w:ascii="標楷體" w:eastAsia="標楷體" w:hAnsi="標楷體"/>
        </w:rPr>
      </w:pPr>
      <w:bookmarkStart w:id="0" w:name="_GoBack"/>
      <w:bookmarkEnd w:id="0"/>
    </w:p>
    <w:sectPr w:rsidR="00757AB5" w:rsidRPr="0039332F" w:rsidSect="00291155">
      <w:footerReference w:type="even" r:id="rId9"/>
      <w:footerReference w:type="default" r:id="rId10"/>
      <w:pgSz w:w="11906" w:h="16838" w:code="9"/>
      <w:pgMar w:top="1134" w:right="1134" w:bottom="851" w:left="567"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06" w:rsidRDefault="00743A06" w:rsidP="005D0418">
      <w:r>
        <w:separator/>
      </w:r>
    </w:p>
  </w:endnote>
  <w:endnote w:type="continuationSeparator" w:id="0">
    <w:p w:rsidR="00743A06" w:rsidRDefault="00743A0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06" w:rsidRDefault="00743A06" w:rsidP="005D0418">
      <w:r>
        <w:separator/>
      </w:r>
    </w:p>
  </w:footnote>
  <w:footnote w:type="continuationSeparator" w:id="0">
    <w:p w:rsidR="00743A06" w:rsidRDefault="00743A06"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6DAA"/>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3A0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77FBD"/>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DC3D-C5ED-49F9-90F2-CF91C921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4359</Characters>
  <Application>Microsoft Office Word</Application>
  <DocSecurity>0</DocSecurity>
  <Lines>36</Lines>
  <Paragraphs>10</Paragraphs>
  <ScaleCrop>false</ScaleCrop>
  <Company>..</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2017-06-02T06:24:00Z</cp:lastPrinted>
  <dcterms:created xsi:type="dcterms:W3CDTF">2017-06-29T05:40:00Z</dcterms:created>
  <dcterms:modified xsi:type="dcterms:W3CDTF">2017-06-29T05:40:00Z</dcterms:modified>
</cp:coreProperties>
</file>